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8D" w:rsidRPr="00CC6D84" w:rsidRDefault="00CC6D84" w:rsidP="00CC6D84">
      <w:pPr>
        <w:spacing w:after="324" w:line="271" w:lineRule="auto"/>
        <w:jc w:val="right"/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</w:pPr>
      <w:r w:rsidRPr="00CC6D84">
        <w:rPr>
          <w:i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44.45pt;width:462pt;height:14.8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" filled="f" stroked="f">
            <v:textbox inset="0,0,0,0">
              <w:txbxContent>
                <w:p w:rsidR="0048008D" w:rsidRDefault="00174DC4">
                  <w:pPr>
                    <w:spacing w:line="264" w:lineRule="auto"/>
                    <w:ind w:left="4392"/>
                    <w:rPr>
                      <w:rFonts w:ascii="Calibri" w:hAnsi="Calibri"/>
                      <w:color w:val="000000"/>
                      <w:w w:val="110"/>
                    </w:rPr>
                  </w:pPr>
                  <w:r>
                    <w:rPr>
                      <w:rFonts w:ascii="Calibri" w:hAnsi="Calibri"/>
                      <w:color w:val="000000"/>
                      <w:w w:val="110"/>
                    </w:rPr>
                    <w:t>1/2</w:t>
                  </w:r>
                </w:p>
              </w:txbxContent>
            </v:textbox>
            <w10:wrap type="square"/>
          </v:shape>
        </w:pict>
      </w:r>
      <w:r w:rsidR="00174DC4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>Příloha č.</w:t>
      </w:r>
      <w:r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 xml:space="preserve"> </w:t>
      </w:r>
      <w:proofErr w:type="gramStart"/>
      <w:r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 xml:space="preserve">3 </w:t>
      </w:r>
      <w:r w:rsidR="00174DC4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 xml:space="preserve"> –</w:t>
      </w:r>
      <w:proofErr w:type="gramEnd"/>
      <w:r w:rsidR="00174DC4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 xml:space="preserve"> </w:t>
      </w:r>
      <w:r w:rsidR="00AF5691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>„</w:t>
      </w:r>
      <w:r w:rsidR="00174DC4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>Technická specifikace parametrů pro svítidlo</w:t>
      </w:r>
      <w:r w:rsidR="008E18A5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 xml:space="preserve"> VO</w:t>
      </w:r>
      <w:r w:rsidR="00AF5691" w:rsidRPr="00CC6D84">
        <w:rPr>
          <w:rFonts w:ascii="Calibri" w:hAnsi="Calibri"/>
          <w:b/>
          <w:i/>
          <w:color w:val="000000"/>
          <w:spacing w:val="-4"/>
          <w:w w:val="105"/>
          <w:sz w:val="24"/>
          <w:szCs w:val="24"/>
        </w:rPr>
        <w:t>“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3398"/>
        <w:gridCol w:w="2390"/>
      </w:tblGrid>
      <w:tr w:rsidR="0048008D" w:rsidRPr="00C767C0" w:rsidTr="008E18A5">
        <w:trPr>
          <w:trHeight w:hRule="exact" w:val="509"/>
        </w:trPr>
        <w:tc>
          <w:tcPr>
            <w:tcW w:w="341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b/>
                <w:color w:val="000000"/>
                <w:spacing w:val="-4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t>Název a typ svítidla</w:t>
            </w:r>
          </w:p>
        </w:tc>
        <w:tc>
          <w:tcPr>
            <w:tcW w:w="578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63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8008D" w:rsidRPr="00C767C0" w:rsidRDefault="00174DC4">
            <w:pPr>
              <w:ind w:left="120"/>
              <w:rPr>
                <w:rFonts w:ascii="Calibri" w:hAnsi="Calibri"/>
                <w:b/>
                <w:color w:val="000000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w w:val="105"/>
              </w:rPr>
              <w:t>Parametr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b/>
                <w:color w:val="000000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w w:val="105"/>
              </w:rPr>
              <w:t>Požadavek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8008D" w:rsidRPr="00C767C0" w:rsidRDefault="00174DC4" w:rsidP="008E18A5">
            <w:pPr>
              <w:spacing w:before="36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t xml:space="preserve">Nabízené parametry </w:t>
            </w: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br/>
            </w:r>
            <w:r w:rsidR="008E18A5">
              <w:rPr>
                <w:rFonts w:ascii="Calibri" w:hAnsi="Calibri"/>
                <w:b/>
                <w:color w:val="000000"/>
                <w:w w:val="105"/>
              </w:rPr>
              <w:t>uchazečem</w:t>
            </w:r>
          </w:p>
        </w:tc>
      </w:tr>
      <w:tr w:rsidR="0048008D" w:rsidRPr="00C767C0" w:rsidTr="008E18A5">
        <w:trPr>
          <w:trHeight w:hRule="exact" w:val="466"/>
        </w:trPr>
        <w:tc>
          <w:tcPr>
            <w:tcW w:w="341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Příkon svítidla</w:t>
            </w:r>
          </w:p>
        </w:tc>
        <w:tc>
          <w:tcPr>
            <w:tcW w:w="339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3E1FE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  <w:r w:rsidR="001D182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W až max. </w:t>
            </w:r>
            <w:r w:rsidR="00433DEB">
              <w:rPr>
                <w:rFonts w:ascii="Calibri" w:hAnsi="Calibri"/>
                <w:color w:val="000000"/>
                <w:sz w:val="20"/>
              </w:rPr>
              <w:t>6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>0 W</w:t>
            </w:r>
          </w:p>
        </w:tc>
        <w:tc>
          <w:tcPr>
            <w:tcW w:w="239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05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Jmenovité napětí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 w:rsidP="00674C5E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230V ±10%, 50 Hz, přepěťová ochrana </w:t>
            </w:r>
            <w:r w:rsidRPr="00C767C0">
              <w:rPr>
                <w:rFonts w:ascii="Calibri" w:hAnsi="Calibri"/>
                <w:color w:val="000000"/>
                <w:sz w:val="20"/>
              </w:rPr>
              <w:br/>
              <w:t>napájecího zdroje min. 6kV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546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48008D" w:rsidRPr="00C767C0" w:rsidTr="008E18A5">
        <w:trPr>
          <w:trHeight w:hRule="exact" w:val="94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Ochrana proti přepětí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C5E" w:rsidRPr="00C767C0" w:rsidRDefault="00674C5E" w:rsidP="00674C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767C0">
              <w:rPr>
                <w:rFonts w:ascii="Calibri" w:hAnsi="Calibri" w:cs="Calibri"/>
                <w:sz w:val="20"/>
                <w:szCs w:val="20"/>
              </w:rPr>
              <w:t>přepěťová ochrana typu 2+3 (10kV/5kA)</w:t>
            </w:r>
          </w:p>
          <w:p w:rsidR="00674C5E" w:rsidRPr="00C767C0" w:rsidRDefault="00674C5E" w:rsidP="00674C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767C0">
              <w:rPr>
                <w:rFonts w:ascii="Calibri" w:hAnsi="Calibri" w:cs="Calibri"/>
                <w:sz w:val="20"/>
                <w:szCs w:val="20"/>
              </w:rPr>
              <w:t>přímo ve svítidle (vyměnitelná bez</w:t>
            </w:r>
          </w:p>
          <w:p w:rsidR="0048008D" w:rsidRPr="00C767C0" w:rsidRDefault="00674C5E" w:rsidP="00674C5E">
            <w:pPr>
              <w:spacing w:before="36"/>
              <w:jc w:val="center"/>
              <w:rPr>
                <w:rFonts w:ascii="Calibri" w:hAnsi="Calibri"/>
                <w:color w:val="000000"/>
                <w:spacing w:val="-1"/>
                <w:sz w:val="20"/>
              </w:rPr>
            </w:pPr>
            <w:r w:rsidRPr="00C767C0">
              <w:rPr>
                <w:rFonts w:ascii="Calibri" w:hAnsi="Calibri" w:cs="Calibri"/>
                <w:sz w:val="20"/>
                <w:szCs w:val="20"/>
              </w:rPr>
              <w:t>nutnosti demontáže svítidla ze stožáru)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74C5E" w:rsidRPr="00C767C0" w:rsidRDefault="00674C5E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48008D" w:rsidRPr="00C767C0" w:rsidRDefault="0048008D" w:rsidP="00C767C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8008D" w:rsidRPr="00C767C0" w:rsidTr="008E18A5">
        <w:trPr>
          <w:trHeight w:hRule="exact" w:val="807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Typ světelného zdroje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 w:rsidP="00674C5E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LED modul s jednotlivými účinnými </w:t>
            </w:r>
            <w:r w:rsidRPr="00C767C0">
              <w:rPr>
                <w:rFonts w:ascii="Calibri" w:hAnsi="Calibri"/>
                <w:color w:val="000000"/>
                <w:sz w:val="20"/>
              </w:rPr>
              <w:br/>
              <w:t>diodami s optickým systémem</w:t>
            </w:r>
            <w:r w:rsidR="00D33AF4">
              <w:rPr>
                <w:rFonts w:ascii="Calibri" w:hAnsi="Calibri"/>
                <w:color w:val="000000"/>
                <w:sz w:val="20"/>
              </w:rPr>
              <w:t xml:space="preserve"> (nikoliv COB čip)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Počet variant optik svítidla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 w:rsidP="00D33AF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≥ </w:t>
            </w:r>
            <w:r w:rsidR="00D33AF4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60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Měrný světelný výkon svítidla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 w:rsidP="00E80A0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≥ 1</w:t>
            </w:r>
            <w:r w:rsidR="00B264B7">
              <w:rPr>
                <w:rFonts w:ascii="Calibri" w:hAnsi="Calibri"/>
                <w:color w:val="000000"/>
                <w:sz w:val="20"/>
              </w:rPr>
              <w:t>3</w:t>
            </w:r>
            <w:r w:rsidR="00E80A04">
              <w:rPr>
                <w:rFonts w:ascii="Calibri" w:hAnsi="Calibri"/>
                <w:color w:val="000000"/>
                <w:sz w:val="20"/>
              </w:rPr>
              <w:t>0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C767C0">
              <w:rPr>
                <w:rFonts w:ascii="Calibri" w:hAnsi="Calibri"/>
                <w:color w:val="000000"/>
                <w:sz w:val="20"/>
              </w:rPr>
              <w:t>lm</w:t>
            </w:r>
            <w:proofErr w:type="spellEnd"/>
            <w:r w:rsidRPr="00C767C0">
              <w:rPr>
                <w:rFonts w:ascii="Calibri" w:hAnsi="Calibri"/>
                <w:color w:val="000000"/>
                <w:sz w:val="20"/>
              </w:rPr>
              <w:t xml:space="preserve"> / W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Teplota chromatičnosti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B9298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2 700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 K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61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8E18A5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Index podání barev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≥ 70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Životnost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892A7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≥ 5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>0 000 hodin / L70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61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Krytí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≥ IP 66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Mechanická odolnost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D33AF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≥ IK08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546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61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Provozní teplota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D33AF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min rozsah - 40 °C až + 45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 °C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01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Naklápění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 w:rsidP="004822AB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min rozsah - 1</w:t>
            </w:r>
            <w:r w:rsidR="00DC7BA3">
              <w:rPr>
                <w:rFonts w:ascii="Calibri" w:hAnsi="Calibri"/>
                <w:color w:val="000000"/>
                <w:sz w:val="20"/>
              </w:rPr>
              <w:t>0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° až + </w:t>
            </w:r>
            <w:r w:rsidR="00DC7BA3">
              <w:rPr>
                <w:rFonts w:ascii="Calibri" w:hAnsi="Calibri"/>
                <w:color w:val="000000"/>
                <w:sz w:val="20"/>
              </w:rPr>
              <w:t>1</w:t>
            </w:r>
            <w:r w:rsidR="004822AB">
              <w:rPr>
                <w:rFonts w:ascii="Calibri" w:hAnsi="Calibri"/>
                <w:color w:val="000000"/>
                <w:sz w:val="20"/>
              </w:rPr>
              <w:t>0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° (možnost </w:t>
            </w:r>
            <w:r w:rsidRPr="00C767C0">
              <w:rPr>
                <w:rFonts w:ascii="Calibri" w:hAnsi="Calibri"/>
                <w:color w:val="000000"/>
                <w:sz w:val="20"/>
              </w:rPr>
              <w:br/>
              <w:t>instalace na stožár bez výložníku)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Hmotnost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AE42AD" w:rsidP="00D33AF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≤ 7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 kg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60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Účinnost svítidla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892A7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≥ 93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 %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Pasivní chlazení LED modulu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61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Teplotní ochrana LED zdrojů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Materiál tělesa svítidla - AL slitina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5F5A8F">
        <w:trPr>
          <w:trHeight w:hRule="exact" w:val="1140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AE42AD" w:rsidP="00B264B7">
            <w:pPr>
              <w:ind w:left="108" w:right="648"/>
              <w:rPr>
                <w:rFonts w:ascii="Calibri" w:hAnsi="Calibri"/>
                <w:color w:val="000000"/>
                <w:spacing w:val="-3"/>
                <w:sz w:val="20"/>
              </w:rPr>
            </w:pPr>
            <w:r>
              <w:rPr>
                <w:rFonts w:ascii="Calibri" w:hAnsi="Calibri"/>
                <w:color w:val="000000"/>
                <w:spacing w:val="-3"/>
                <w:sz w:val="20"/>
              </w:rPr>
              <w:t>Odpínací svorka</w:t>
            </w:r>
            <w:r w:rsidR="00B264B7">
              <w:rPr>
                <w:rFonts w:ascii="Calibri" w:hAnsi="Calibri"/>
                <w:color w:val="000000"/>
                <w:spacing w:val="-3"/>
                <w:sz w:val="20"/>
              </w:rPr>
              <w:t>,</w:t>
            </w:r>
            <w:r>
              <w:rPr>
                <w:rFonts w:ascii="Calibri" w:hAnsi="Calibri"/>
                <w:color w:val="000000"/>
                <w:spacing w:val="-3"/>
                <w:sz w:val="20"/>
              </w:rPr>
              <w:t xml:space="preserve"> která odpojí svítidlo od n</w:t>
            </w:r>
            <w:r w:rsidR="00B264B7">
              <w:rPr>
                <w:rFonts w:ascii="Calibri" w:hAnsi="Calibri"/>
                <w:color w:val="000000"/>
                <w:spacing w:val="-3"/>
                <w:sz w:val="20"/>
              </w:rPr>
              <w:t>apájecího napětí při otevření svítidla pro zajištění beznapěťového stavu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56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C767C0">
              <w:rPr>
                <w:rFonts w:ascii="Calibri" w:hAnsi="Calibri"/>
                <w:color w:val="000000"/>
                <w:sz w:val="20"/>
              </w:rPr>
              <w:t>Samočistitelný</w:t>
            </w:r>
            <w:proofErr w:type="spellEnd"/>
            <w:r w:rsidRPr="00C767C0">
              <w:rPr>
                <w:rFonts w:ascii="Calibri" w:hAnsi="Calibri"/>
                <w:color w:val="000000"/>
                <w:sz w:val="20"/>
              </w:rPr>
              <w:t xml:space="preserve"> korpus svítidla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63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spacing w:before="36" w:line="285" w:lineRule="auto"/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Montáž na dřík stožáru </w:t>
            </w:r>
            <w:r w:rsidR="00B264B7">
              <w:rPr>
                <w:rFonts w:ascii="Calibri" w:hAnsi="Calibri"/>
                <w:color w:val="000000"/>
                <w:sz w:val="20"/>
              </w:rPr>
              <w:t>nebo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výložník</w:t>
            </w:r>
          </w:p>
          <w:p w:rsidR="0048008D" w:rsidRPr="00C767C0" w:rsidRDefault="00174DC4">
            <w:pPr>
              <w:spacing w:before="72" w:line="285" w:lineRule="auto"/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o Ø 60 mm (bez dalšího příslušenství)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3658E7">
        <w:trPr>
          <w:trHeight w:hRule="exact" w:val="534"/>
        </w:trPr>
        <w:tc>
          <w:tcPr>
            <w:tcW w:w="341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Uchycení k výložníku nebo stožáru</w:t>
            </w:r>
            <w:r w:rsidR="00674C5E"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 xml:space="preserve"> nerezovými šrouby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403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AF5691">
            <w:pPr>
              <w:ind w:left="124"/>
              <w:rPr>
                <w:rFonts w:ascii="Calibri" w:hAnsi="Calibri"/>
                <w:color w:val="000000"/>
                <w:spacing w:val="-4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>Certifikáty:</w:t>
            </w:r>
            <w:r>
              <w:rPr>
                <w:rFonts w:ascii="Calibri" w:hAnsi="Calibri"/>
                <w:noProof/>
                <w:color w:val="000000"/>
                <w:spacing w:val="-4"/>
                <w:w w:val="105"/>
                <w:sz w:val="20"/>
                <w:lang w:eastAsia="cs-CZ"/>
              </w:rPr>
              <w:t xml:space="preserve"> ENEC, CB, CE</w:t>
            </w:r>
            <w:r w:rsidR="008E18A5" w:rsidRPr="008E18A5">
              <w:rPr>
                <w:rFonts w:ascii="Calibri" w:hAnsi="Calibri"/>
                <w:noProof/>
                <w:color w:val="000000"/>
                <w:spacing w:val="-4"/>
                <w:w w:val="105"/>
                <w:sz w:val="20"/>
                <w:lang w:eastAsia="cs-CZ"/>
              </w:rPr>
              <w:drawing>
                <wp:inline distT="0" distB="0" distL="0" distR="0">
                  <wp:extent cx="31115" cy="127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AF5691" w:rsidP="00AF569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F5691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06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spacing w:before="36"/>
              <w:ind w:left="108" w:right="252"/>
              <w:rPr>
                <w:rFonts w:ascii="Calibri" w:hAnsi="Calibri"/>
                <w:color w:val="000000"/>
                <w:spacing w:val="-4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lastRenderedPageBreak/>
              <w:t xml:space="preserve">Funkce konstantního světelného toku </w:t>
            </w: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„CLO“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01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spacing w:before="36"/>
              <w:ind w:left="108" w:right="756"/>
              <w:rPr>
                <w:rFonts w:ascii="Calibri" w:hAnsi="Calibri"/>
                <w:color w:val="000000"/>
                <w:spacing w:val="-9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 xml:space="preserve">Funkce AstroDIM pro nastavení </w:t>
            </w: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>autonomního řízení stmívání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00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spacing w:before="36"/>
              <w:ind w:left="108" w:right="468"/>
              <w:rPr>
                <w:rFonts w:ascii="Calibri" w:hAnsi="Calibri"/>
                <w:color w:val="000000"/>
                <w:spacing w:val="-8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spacing w:val="-8"/>
                <w:w w:val="105"/>
                <w:sz w:val="20"/>
              </w:rPr>
              <w:t xml:space="preserve">Možnost nastavení několika úrovní </w:t>
            </w: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stmívání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706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 w:rsidP="00B264B7">
            <w:pPr>
              <w:spacing w:before="36"/>
              <w:jc w:val="center"/>
              <w:rPr>
                <w:rFonts w:ascii="Calibri" w:hAnsi="Calibri"/>
                <w:color w:val="000000"/>
                <w:spacing w:val="-4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 xml:space="preserve">Podíl světelného toku do horního </w:t>
            </w: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br/>
              <w:t>poloprostoru při sklonu</w:t>
            </w:r>
            <w:r w:rsidR="00B264B7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 xml:space="preserve"> svítidla</w:t>
            </w: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 xml:space="preserve"> 0</w:t>
            </w:r>
            <w:r w:rsidR="00B264B7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>°</w:t>
            </w: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 xml:space="preserve"> (ULR)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946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spacing w:before="36"/>
              <w:ind w:left="108" w:right="324"/>
              <w:jc w:val="both"/>
              <w:rPr>
                <w:rFonts w:ascii="Calibri" w:hAnsi="Calibri"/>
                <w:color w:val="000000"/>
                <w:spacing w:val="-4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spacing w:val="-4"/>
                <w:w w:val="105"/>
                <w:sz w:val="20"/>
              </w:rPr>
              <w:t xml:space="preserve">Svítidla musí mít ve všech výkonných </w:t>
            </w:r>
            <w:r w:rsidRPr="00C767C0">
              <w:rPr>
                <w:rFonts w:ascii="Calibri" w:hAnsi="Calibri"/>
                <w:color w:val="000000"/>
                <w:spacing w:val="-5"/>
                <w:w w:val="105"/>
                <w:sz w:val="20"/>
              </w:rPr>
              <w:t xml:space="preserve">a rozměrových variantách jednotný </w:t>
            </w: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design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8E18A5">
        <w:trPr>
          <w:trHeight w:hRule="exact" w:val="869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spacing w:before="36"/>
              <w:ind w:left="108" w:right="468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 xml:space="preserve">Svítidlo musí mít </w:t>
            </w:r>
            <w:r w:rsidR="00B264B7">
              <w:rPr>
                <w:rFonts w:ascii="Calibri" w:hAnsi="Calibri"/>
                <w:color w:val="000000"/>
                <w:w w:val="105"/>
                <w:sz w:val="20"/>
              </w:rPr>
              <w:t xml:space="preserve">konstrukčně </w:t>
            </w: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 xml:space="preserve">oddělenou </w:t>
            </w:r>
            <w:r w:rsidRPr="00C767C0">
              <w:rPr>
                <w:rFonts w:ascii="Calibri" w:hAnsi="Calibri"/>
                <w:color w:val="000000"/>
                <w:spacing w:val="-6"/>
                <w:w w:val="105"/>
                <w:sz w:val="20"/>
              </w:rPr>
              <w:t>předřadnou a optickou část svítidla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174DC4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1D1829">
        <w:trPr>
          <w:trHeight w:hRule="exact" w:val="570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892A7F">
            <w:pPr>
              <w:ind w:left="108" w:right="432"/>
              <w:rPr>
                <w:rFonts w:ascii="Calibri" w:hAnsi="Calibri"/>
                <w:color w:val="000000"/>
                <w:spacing w:val="-9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>Záruka na svítidlo min. 60</w:t>
            </w:r>
            <w:r w:rsidR="00AF5691"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>měsíců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08D" w:rsidRPr="00C767C0" w:rsidRDefault="00892A7F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D1829" w:rsidRPr="00C767C0" w:rsidTr="008E18A5">
        <w:trPr>
          <w:trHeight w:hRule="exact" w:val="570"/>
        </w:trPr>
        <w:tc>
          <w:tcPr>
            <w:tcW w:w="3418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1D1829" w:rsidRDefault="001D1829">
            <w:pPr>
              <w:ind w:left="108" w:right="432"/>
              <w:rPr>
                <w:rFonts w:ascii="Calibri" w:hAnsi="Calibri"/>
                <w:color w:val="000000"/>
                <w:spacing w:val="-9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>Instalovaný příkon všech</w:t>
            </w:r>
            <w:r w:rsidR="003658E7"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 xml:space="preserve"> 89ks</w:t>
            </w:r>
            <w:r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 xml:space="preserve"> svítidel nepřekročí 2 800 W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D1829" w:rsidRDefault="001D182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1D1829" w:rsidRPr="00C767C0" w:rsidRDefault="001D1829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8008D" w:rsidRPr="00C767C0" w:rsidRDefault="0048008D">
      <w:pPr>
        <w:spacing w:after="344" w:line="20" w:lineRule="exact"/>
      </w:pPr>
    </w:p>
    <w:p w:rsidR="0048008D" w:rsidRPr="00C767C0" w:rsidRDefault="00174DC4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  <w:r w:rsidRPr="00C767C0">
        <w:rPr>
          <w:rFonts w:ascii="Calibri" w:hAnsi="Calibri"/>
          <w:color w:val="000000"/>
          <w:spacing w:val="-4"/>
          <w:w w:val="105"/>
          <w:sz w:val="20"/>
        </w:rPr>
        <w:t>Doporučený odstín svítidla dle vzorníku RAL 9006.</w:t>
      </w:r>
    </w:p>
    <w:p w:rsidR="0048008D" w:rsidRPr="00C767C0" w:rsidRDefault="00CC6D84">
      <w:pPr>
        <w:tabs>
          <w:tab w:val="left" w:leader="dot" w:pos="2223"/>
          <w:tab w:val="right" w:leader="dot" w:pos="3333"/>
        </w:tabs>
        <w:spacing w:before="1044"/>
        <w:rPr>
          <w:rFonts w:ascii="Calibri" w:hAnsi="Calibri"/>
          <w:color w:val="000000"/>
          <w:w w:val="105"/>
        </w:rPr>
      </w:pPr>
      <w:r>
        <w:rPr>
          <w:noProof/>
          <w:lang w:eastAsia="cs-CZ"/>
        </w:rPr>
        <w:pict>
          <v:line id="Line 2" o:spid="_x0000_s102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63.5pt" to="418.9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RtHw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" strokeweight="1.45pt">
            <v:stroke dashstyle="1 1"/>
          </v:line>
        </w:pict>
      </w:r>
      <w:r w:rsidR="00174DC4" w:rsidRPr="00C767C0">
        <w:rPr>
          <w:rFonts w:ascii="Calibri" w:hAnsi="Calibri"/>
          <w:color w:val="000000"/>
          <w:w w:val="105"/>
        </w:rPr>
        <w:t>V</w:t>
      </w:r>
      <w:r w:rsidR="00174DC4" w:rsidRPr="00C767C0">
        <w:rPr>
          <w:rFonts w:ascii="Calibri" w:hAnsi="Calibri"/>
          <w:color w:val="000000"/>
          <w:w w:val="105"/>
        </w:rPr>
        <w:tab/>
        <w:t>dne</w:t>
      </w:r>
      <w:r w:rsidR="00174DC4" w:rsidRPr="00C767C0">
        <w:rPr>
          <w:rFonts w:ascii="Calibri" w:hAnsi="Calibri"/>
          <w:color w:val="000000"/>
          <w:w w:val="105"/>
        </w:rPr>
        <w:tab/>
      </w:r>
    </w:p>
    <w:p w:rsidR="0048008D" w:rsidRDefault="00174DC4">
      <w:pPr>
        <w:spacing w:before="180" w:line="268" w:lineRule="auto"/>
        <w:ind w:left="5688"/>
        <w:rPr>
          <w:rFonts w:ascii="Calibri" w:hAnsi="Calibri"/>
          <w:color w:val="000000"/>
          <w:spacing w:val="-5"/>
          <w:sz w:val="6"/>
        </w:rPr>
      </w:pPr>
      <w:r w:rsidRPr="00C767C0">
        <w:rPr>
          <w:rFonts w:ascii="Calibri" w:hAnsi="Calibri"/>
          <w:color w:val="000000"/>
          <w:spacing w:val="-5"/>
          <w:sz w:val="6"/>
        </w:rPr>
        <w:t>(</w:t>
      </w:r>
      <w:r w:rsidRPr="00C767C0">
        <w:rPr>
          <w:rFonts w:ascii="Calibri" w:hAnsi="Calibri"/>
          <w:i/>
          <w:color w:val="000000"/>
          <w:spacing w:val="-5"/>
          <w:w w:val="110"/>
          <w:sz w:val="16"/>
        </w:rPr>
        <w:t>podp</w:t>
      </w:r>
      <w:r>
        <w:rPr>
          <w:rFonts w:ascii="Calibri" w:hAnsi="Calibri"/>
          <w:i/>
          <w:color w:val="000000"/>
          <w:spacing w:val="-5"/>
          <w:w w:val="110"/>
          <w:sz w:val="16"/>
        </w:rPr>
        <w:t>is statutárního zástupce dodavatele)</w:t>
      </w:r>
    </w:p>
    <w:sectPr w:rsidR="0048008D" w:rsidSect="00246A94">
      <w:pgSz w:w="11918" w:h="16854"/>
      <w:pgMar w:top="712" w:right="1279" w:bottom="923" w:left="13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8D"/>
    <w:rsid w:val="000039AB"/>
    <w:rsid w:val="00174DC4"/>
    <w:rsid w:val="001D1829"/>
    <w:rsid w:val="00246A94"/>
    <w:rsid w:val="003658E7"/>
    <w:rsid w:val="003E1FEF"/>
    <w:rsid w:val="00433DEB"/>
    <w:rsid w:val="0048008D"/>
    <w:rsid w:val="004822AB"/>
    <w:rsid w:val="005F5A8F"/>
    <w:rsid w:val="00674C5E"/>
    <w:rsid w:val="00892A7F"/>
    <w:rsid w:val="008E18A5"/>
    <w:rsid w:val="00AE42AD"/>
    <w:rsid w:val="00AF5691"/>
    <w:rsid w:val="00B264B7"/>
    <w:rsid w:val="00B9298F"/>
    <w:rsid w:val="00C5465D"/>
    <w:rsid w:val="00C767C0"/>
    <w:rsid w:val="00CC6D84"/>
    <w:rsid w:val="00D33AF4"/>
    <w:rsid w:val="00DC7BA3"/>
    <w:rsid w:val="00E80A04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FFD3DF"/>
  <w15:docId w15:val="{25FA5978-FD23-4809-8CED-6F4E8D5E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6A9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Czechpoint</cp:lastModifiedBy>
  <cp:revision>11</cp:revision>
  <cp:lastPrinted>2018-02-15T17:25:00Z</cp:lastPrinted>
  <dcterms:created xsi:type="dcterms:W3CDTF">2018-03-14T15:38:00Z</dcterms:created>
  <dcterms:modified xsi:type="dcterms:W3CDTF">2018-04-17T09:13:00Z</dcterms:modified>
</cp:coreProperties>
</file>